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0971" w:rsidRPr="00470971" w:rsidTr="00DD692C">
        <w:tc>
          <w:tcPr>
            <w:tcW w:w="4606" w:type="dxa"/>
          </w:tcPr>
          <w:p w:rsidR="00BD1E08" w:rsidRPr="00470971" w:rsidRDefault="00BD1E08" w:rsidP="00167BF6">
            <w:pPr>
              <w:shd w:val="clear" w:color="auto" w:fill="FFFFFF"/>
              <w:spacing w:before="144" w:after="288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5.§</w:t>
            </w:r>
          </w:p>
          <w:p w:rsidR="00BD1E08" w:rsidRPr="00470971" w:rsidRDefault="00BD1E08" w:rsidP="00167BF6">
            <w:pPr>
              <w:shd w:val="clear" w:color="auto" w:fill="FFFFFF"/>
              <w:spacing w:before="144" w:after="288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7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napirend</w:t>
            </w:r>
          </w:p>
          <w:p w:rsidR="00BD1E08" w:rsidRPr="00470971" w:rsidRDefault="00BD1E08" w:rsidP="00AD2D0E">
            <w:pPr>
              <w:shd w:val="clear" w:color="auto" w:fill="FFFFFF"/>
              <w:spacing w:before="144" w:after="288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0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(3) Az előzetesen meghirdetett napirendi pontokat a levezető elnök napirendre veszi. Újabb napirendi pontot az Önkormányzat bármely tagja, illetve tisztségviselője javasolhat az ülés elején; ezek napirendre vételéről a Küldöttgyűlés egyenként, kétharmados többségű szavazással dönt.</w:t>
            </w:r>
          </w:p>
          <w:p w:rsidR="00BD1E08" w:rsidRPr="00470971" w:rsidRDefault="00BD1E08" w:rsidP="00167BF6">
            <w:pPr>
              <w:pStyle w:val="NormlWeb"/>
              <w:jc w:val="center"/>
              <w:rPr>
                <w:rStyle w:val="Kiemels2"/>
              </w:rPr>
            </w:pPr>
          </w:p>
        </w:tc>
        <w:tc>
          <w:tcPr>
            <w:tcW w:w="4606" w:type="dxa"/>
          </w:tcPr>
          <w:p w:rsidR="00BD1E08" w:rsidRPr="00470971" w:rsidRDefault="00BD1E08" w:rsidP="00167BF6">
            <w:pPr>
              <w:shd w:val="clear" w:color="auto" w:fill="FFFFFF"/>
              <w:spacing w:before="144" w:after="288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5.§</w:t>
            </w:r>
          </w:p>
          <w:p w:rsidR="00BD1E08" w:rsidRPr="00470971" w:rsidRDefault="00BD1E08" w:rsidP="00167BF6">
            <w:pPr>
              <w:shd w:val="clear" w:color="auto" w:fill="FFFFFF"/>
              <w:spacing w:before="144" w:after="288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7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napirend</w:t>
            </w:r>
          </w:p>
          <w:p w:rsidR="00BD1E08" w:rsidRPr="00CE47F5" w:rsidRDefault="00BD1E08" w:rsidP="00AD2D0E">
            <w:pPr>
              <w:pStyle w:val="NormlWeb"/>
              <w:jc w:val="both"/>
              <w:rPr>
                <w:rStyle w:val="Kiemels2"/>
                <w:b w:val="0"/>
              </w:rPr>
            </w:pPr>
            <w:r w:rsidRPr="00CE47F5">
              <w:rPr>
                <w:b/>
                <w:shd w:val="clear" w:color="auto" w:fill="FFFFFF"/>
              </w:rPr>
              <w:t xml:space="preserve">(3) </w:t>
            </w:r>
            <w:r w:rsidR="00C64C3C" w:rsidRPr="00CE47F5">
              <w:rPr>
                <w:b/>
                <w:shd w:val="clear" w:color="auto" w:fill="FFFFFF"/>
              </w:rPr>
              <w:t>Az elnök, a tisztségviselők, illetve az Alapítvány elnökének és titkárának beszámolója napirendi pontok előtt az Ellenőrző Bizottság köteles felsorolni a késve beszámolót küldő tisztségviselőket.</w:t>
            </w:r>
          </w:p>
        </w:tc>
      </w:tr>
      <w:tr w:rsidR="00470971" w:rsidRPr="00470971" w:rsidTr="00DD692C">
        <w:tc>
          <w:tcPr>
            <w:tcW w:w="4606" w:type="dxa"/>
          </w:tcPr>
          <w:p w:rsidR="00A52025" w:rsidRPr="00470971" w:rsidRDefault="00A52025" w:rsidP="00167BF6">
            <w:pPr>
              <w:shd w:val="clear" w:color="auto" w:fill="FFFFFF"/>
              <w:spacing w:before="144" w:after="288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5.§</w:t>
            </w:r>
          </w:p>
          <w:p w:rsidR="00A52025" w:rsidRPr="00470971" w:rsidRDefault="00A52025" w:rsidP="00167BF6">
            <w:pPr>
              <w:shd w:val="clear" w:color="auto" w:fill="FFFFFF"/>
              <w:spacing w:before="144" w:after="288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7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napirend</w:t>
            </w:r>
          </w:p>
          <w:p w:rsidR="008976A1" w:rsidRPr="00470971" w:rsidRDefault="008976A1" w:rsidP="00AD2D0E">
            <w:pPr>
              <w:shd w:val="clear" w:color="auto" w:fill="FFFFFF"/>
              <w:spacing w:before="144" w:after="288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0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(3) Az előzetesen meghirdetett napirendi pontokat a levezető elnök napirendre veszi. Újabb napirendi pontot az Önkormányzat bármely tagja, illetve tisztségviselője javasolhat az ülés elején; ezek napirendre vételéről a Küldöttgyűlés egyenként, kétharmados többségű szavazással dönt.</w:t>
            </w:r>
          </w:p>
          <w:p w:rsidR="00C64C3C" w:rsidRPr="00470971" w:rsidRDefault="00C64C3C" w:rsidP="00167BF6">
            <w:pPr>
              <w:shd w:val="clear" w:color="auto" w:fill="FFFFFF"/>
              <w:spacing w:before="144" w:after="288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C64C3C" w:rsidRPr="00470971" w:rsidRDefault="00C64C3C" w:rsidP="00167BF6">
            <w:pPr>
              <w:shd w:val="clear" w:color="auto" w:fill="FFFFFF"/>
              <w:spacing w:before="144" w:after="288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5.§</w:t>
            </w:r>
          </w:p>
          <w:p w:rsidR="00C64C3C" w:rsidRPr="00470971" w:rsidRDefault="00C64C3C" w:rsidP="00167BF6">
            <w:pPr>
              <w:shd w:val="clear" w:color="auto" w:fill="FFFFFF"/>
              <w:spacing w:before="144" w:after="288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7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napirend</w:t>
            </w:r>
          </w:p>
          <w:p w:rsidR="00C64C3C" w:rsidRPr="00470971" w:rsidRDefault="00CE47F5" w:rsidP="00AD2D0E">
            <w:pPr>
              <w:shd w:val="clear" w:color="auto" w:fill="FFFFFF"/>
              <w:spacing w:before="144" w:after="288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47F5"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  <w:t>(3)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52025" w:rsidRPr="00CE47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(4</w:t>
            </w:r>
            <w:r w:rsidR="00C64C3C" w:rsidRPr="00CE47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 w:rsidR="00C64C3C" w:rsidRPr="00470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Az előzetesen meghirdetett napirendi pontokat a levezető elnök napirendre veszi. </w:t>
            </w:r>
            <w:r w:rsidR="00167BF6" w:rsidRPr="00470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Ú</w:t>
            </w:r>
            <w:r w:rsidR="00C64C3C" w:rsidRPr="00470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jabb napirendi pontot az Önkormányzat bármely tagja, illetve tisztségviselője javasolhat az ülés elején; ezek napirendre vételéről a Küldöttgyűlés egyenként, kétharmados többségű szavazással dönt.</w:t>
            </w:r>
          </w:p>
          <w:p w:rsidR="00C64C3C" w:rsidRPr="00470971" w:rsidRDefault="00C64C3C" w:rsidP="00167BF6">
            <w:pPr>
              <w:shd w:val="clear" w:color="auto" w:fill="FFFFFF"/>
              <w:spacing w:before="144" w:after="288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70971" w:rsidRPr="00470971" w:rsidTr="00DD692C">
        <w:tc>
          <w:tcPr>
            <w:tcW w:w="4606" w:type="dxa"/>
          </w:tcPr>
          <w:p w:rsidR="00A52025" w:rsidRPr="00470971" w:rsidRDefault="00A52025" w:rsidP="00167BF6">
            <w:pPr>
              <w:shd w:val="clear" w:color="auto" w:fill="FFFFFF"/>
              <w:spacing w:before="144" w:after="288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5.§</w:t>
            </w:r>
          </w:p>
          <w:p w:rsidR="00A52025" w:rsidRPr="00470971" w:rsidRDefault="00A52025" w:rsidP="00167BF6">
            <w:pPr>
              <w:shd w:val="clear" w:color="auto" w:fill="FFFFFF"/>
              <w:spacing w:before="144" w:after="288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7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napirend</w:t>
            </w:r>
          </w:p>
          <w:p w:rsidR="00A52025" w:rsidRPr="00470971" w:rsidRDefault="008976A1" w:rsidP="00AD2D0E">
            <w:pPr>
              <w:shd w:val="clear" w:color="auto" w:fill="FFFFFF"/>
              <w:spacing w:before="144" w:after="288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70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(4)  Az ülés elején el kell fogadni az ülés napirendjét.</w:t>
            </w:r>
          </w:p>
        </w:tc>
        <w:tc>
          <w:tcPr>
            <w:tcW w:w="4606" w:type="dxa"/>
          </w:tcPr>
          <w:p w:rsidR="00A52025" w:rsidRPr="00470971" w:rsidRDefault="00A52025" w:rsidP="00167BF6">
            <w:pPr>
              <w:shd w:val="clear" w:color="auto" w:fill="FFFFFF"/>
              <w:spacing w:before="144" w:after="288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7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5.§</w:t>
            </w:r>
          </w:p>
          <w:p w:rsidR="00A52025" w:rsidRPr="00470971" w:rsidRDefault="00A52025" w:rsidP="00167BF6">
            <w:pPr>
              <w:shd w:val="clear" w:color="auto" w:fill="FFFFFF"/>
              <w:spacing w:before="144" w:after="288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7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napirend</w:t>
            </w:r>
          </w:p>
          <w:p w:rsidR="00A52025" w:rsidRPr="00470971" w:rsidRDefault="00CE47F5" w:rsidP="00AD2D0E">
            <w:pPr>
              <w:shd w:val="clear" w:color="auto" w:fill="FFFFFF"/>
              <w:spacing w:before="144" w:after="288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47F5"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  <w:t>(4)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52025" w:rsidRPr="00CE47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(5)</w:t>
            </w:r>
            <w:r w:rsidR="00A52025" w:rsidRPr="00470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Az ülés elején el kell fogadni az ülés napirendjét.</w:t>
            </w:r>
          </w:p>
        </w:tc>
      </w:tr>
      <w:tr w:rsidR="00470971" w:rsidRPr="00470971" w:rsidTr="00DD692C">
        <w:tc>
          <w:tcPr>
            <w:tcW w:w="4606" w:type="dxa"/>
          </w:tcPr>
          <w:p w:rsidR="008976A1" w:rsidRPr="00470971" w:rsidRDefault="008976A1" w:rsidP="008976A1">
            <w:pPr>
              <w:shd w:val="clear" w:color="auto" w:fill="FFFFFF"/>
              <w:spacing w:before="144" w:after="288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7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5.§</w:t>
            </w:r>
          </w:p>
          <w:p w:rsidR="008976A1" w:rsidRPr="00470971" w:rsidRDefault="008976A1" w:rsidP="008976A1">
            <w:pPr>
              <w:shd w:val="clear" w:color="auto" w:fill="FFFFFF"/>
              <w:spacing w:before="144" w:after="288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7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napirend</w:t>
            </w:r>
          </w:p>
          <w:p w:rsidR="00A52025" w:rsidRPr="00470971" w:rsidRDefault="008976A1" w:rsidP="00AD2D0E">
            <w:pPr>
              <w:shd w:val="clear" w:color="auto" w:fill="FFFFFF"/>
              <w:spacing w:before="144" w:after="288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70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(5)  A már elfogadott napirendet az ülés közben a Küldöttgyűlés kétharmados többséggel módosíthatja: új napirendi pontot vehet fel, megváltoztathatja a napirendi pontok sorrendjét, illetve törölhet elfogadott napirendi pontokat</w:t>
            </w:r>
          </w:p>
        </w:tc>
        <w:tc>
          <w:tcPr>
            <w:tcW w:w="4606" w:type="dxa"/>
          </w:tcPr>
          <w:p w:rsidR="00A52025" w:rsidRPr="00470971" w:rsidRDefault="00A52025" w:rsidP="00167BF6">
            <w:pPr>
              <w:shd w:val="clear" w:color="auto" w:fill="FFFFFF"/>
              <w:spacing w:before="144" w:after="288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7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5.§</w:t>
            </w:r>
          </w:p>
          <w:p w:rsidR="00A52025" w:rsidRPr="00470971" w:rsidRDefault="00A52025" w:rsidP="00167BF6">
            <w:pPr>
              <w:shd w:val="clear" w:color="auto" w:fill="FFFFFF"/>
              <w:spacing w:before="144" w:after="288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7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napirend</w:t>
            </w:r>
          </w:p>
          <w:p w:rsidR="00A52025" w:rsidRPr="00470971" w:rsidRDefault="00CE47F5" w:rsidP="00AD2D0E">
            <w:pPr>
              <w:shd w:val="clear" w:color="auto" w:fill="FFFFFF"/>
              <w:spacing w:before="144" w:after="288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47F5"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  <w:t>(5)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52025" w:rsidRPr="00CE47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(6)</w:t>
            </w:r>
            <w:r w:rsidR="00A52025" w:rsidRPr="00470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A már elfogadott napirendet az ülés közben a Küldöttgyűlés kétharmados többséggel módosíthatja: új napirendi pontot vehet fel, megváltoztathatja a napirendi pontok sorrendjét, illetve törölhet elfogadott napirendi pontokat. </w:t>
            </w:r>
            <w:r w:rsidR="00A52025" w:rsidRPr="00470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Egy adott ülésen egy lezárt pontot még egyszer napirendre tűzni nem lehet.</w:t>
            </w:r>
          </w:p>
        </w:tc>
      </w:tr>
      <w:tr w:rsidR="00470971" w:rsidRPr="00470971" w:rsidTr="00DD692C">
        <w:tc>
          <w:tcPr>
            <w:tcW w:w="4606" w:type="dxa"/>
          </w:tcPr>
          <w:p w:rsidR="00DD692C" w:rsidRPr="00470971" w:rsidRDefault="00DD692C" w:rsidP="00167BF6">
            <w:pPr>
              <w:pStyle w:val="NormlWeb"/>
              <w:jc w:val="center"/>
            </w:pPr>
            <w:r w:rsidRPr="00470971">
              <w:rPr>
                <w:rStyle w:val="Kiemels2"/>
              </w:rPr>
              <w:lastRenderedPageBreak/>
              <w:t>7.§</w:t>
            </w:r>
          </w:p>
          <w:p w:rsidR="00DD692C" w:rsidRPr="00470971" w:rsidRDefault="00DD692C" w:rsidP="00167BF6">
            <w:pPr>
              <w:pStyle w:val="NormlWeb"/>
              <w:jc w:val="center"/>
            </w:pPr>
            <w:r w:rsidRPr="00470971">
              <w:rPr>
                <w:rStyle w:val="Kiemels2"/>
              </w:rPr>
              <w:t>Személyi kérdések</w:t>
            </w:r>
          </w:p>
          <w:p w:rsidR="00DD692C" w:rsidRPr="00470971" w:rsidRDefault="00DD692C" w:rsidP="00AD2D0E">
            <w:pPr>
              <w:pStyle w:val="NormlWeb"/>
              <w:jc w:val="both"/>
            </w:pPr>
            <w:r w:rsidRPr="00470971">
              <w:t>(1)  A Küldöttgyűlés a tisztségviselőket (az Ellenőrző Bizottság kivételével) az Alapszabály 37-38. §§</w:t>
            </w:r>
            <w:proofErr w:type="spellStart"/>
            <w:r w:rsidRPr="00470971">
              <w:t>-a</w:t>
            </w:r>
            <w:proofErr w:type="spellEnd"/>
            <w:r w:rsidRPr="00470971">
              <w:t xml:space="preserve"> megkötései mellett az alábbi ügymenettel választja:</w:t>
            </w:r>
          </w:p>
          <w:p w:rsidR="00DD692C" w:rsidRPr="00470971" w:rsidRDefault="00DD692C" w:rsidP="00AD2D0E">
            <w:pPr>
              <w:pStyle w:val="NormlWeb"/>
              <w:jc w:val="both"/>
            </w:pPr>
            <w:r w:rsidRPr="00470971">
              <w:t>(a)  Jelöltállítás, mely az Alapszabály 37. § (2) bekezdése és 38. § (2) bekezdése alapján történik.</w:t>
            </w:r>
          </w:p>
          <w:p w:rsidR="00DD692C" w:rsidRPr="00470971" w:rsidRDefault="00DD692C" w:rsidP="00167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DD692C" w:rsidRPr="00470971" w:rsidRDefault="00DD692C" w:rsidP="00167BF6">
            <w:pPr>
              <w:pStyle w:val="NormlWeb"/>
              <w:jc w:val="center"/>
            </w:pPr>
            <w:r w:rsidRPr="00470971">
              <w:rPr>
                <w:rStyle w:val="Kiemels2"/>
              </w:rPr>
              <w:t>7.§</w:t>
            </w:r>
          </w:p>
          <w:p w:rsidR="00DD692C" w:rsidRPr="00470971" w:rsidRDefault="00DD692C" w:rsidP="00167BF6">
            <w:pPr>
              <w:pStyle w:val="NormlWeb"/>
              <w:jc w:val="center"/>
            </w:pPr>
            <w:r w:rsidRPr="00470971">
              <w:rPr>
                <w:rStyle w:val="Kiemels2"/>
              </w:rPr>
              <w:t>Személyi kérdések</w:t>
            </w:r>
          </w:p>
          <w:p w:rsidR="00DD692C" w:rsidRPr="00470971" w:rsidRDefault="00DD692C" w:rsidP="00AD2D0E">
            <w:pPr>
              <w:pStyle w:val="NormlWeb"/>
              <w:jc w:val="both"/>
            </w:pPr>
            <w:r w:rsidRPr="00470971">
              <w:t xml:space="preserve">(1)  A Küldöttgyűlés a tisztségviselőket (az Ellenőrző Bizottság kivételével) az Alapszabály </w:t>
            </w:r>
            <w:r w:rsidRPr="00470971">
              <w:rPr>
                <w:strike/>
              </w:rPr>
              <w:t>37-38</w:t>
            </w:r>
            <w:r w:rsidRPr="00470971">
              <w:t xml:space="preserve"> </w:t>
            </w:r>
            <w:r w:rsidRPr="00470971">
              <w:rPr>
                <w:b/>
              </w:rPr>
              <w:t>38-39</w:t>
            </w:r>
            <w:r w:rsidRPr="00470971">
              <w:t>. §§</w:t>
            </w:r>
            <w:proofErr w:type="spellStart"/>
            <w:r w:rsidRPr="00470971">
              <w:t>-a</w:t>
            </w:r>
            <w:proofErr w:type="spellEnd"/>
            <w:r w:rsidRPr="00470971">
              <w:t xml:space="preserve"> megkötései mellett az alábbi ügymenettel választja:</w:t>
            </w:r>
          </w:p>
          <w:p w:rsidR="00DD692C" w:rsidRPr="00470971" w:rsidRDefault="00DD692C" w:rsidP="00AD2D0E">
            <w:pPr>
              <w:pStyle w:val="NormlWeb"/>
              <w:jc w:val="both"/>
            </w:pPr>
            <w:r w:rsidRPr="00470971">
              <w:t xml:space="preserve">(a)  Jelöltállítás, mely az Alapszabály </w:t>
            </w:r>
            <w:r w:rsidRPr="00470971">
              <w:rPr>
                <w:strike/>
              </w:rPr>
              <w:t xml:space="preserve">37 </w:t>
            </w:r>
            <w:r w:rsidRPr="00470971">
              <w:rPr>
                <w:b/>
              </w:rPr>
              <w:t>38</w:t>
            </w:r>
            <w:r w:rsidRPr="00470971">
              <w:t xml:space="preserve">. § (2) bekezdése és </w:t>
            </w:r>
            <w:r w:rsidRPr="00470971">
              <w:rPr>
                <w:strike/>
              </w:rPr>
              <w:t>38</w:t>
            </w:r>
            <w:r w:rsidRPr="00470971">
              <w:t xml:space="preserve"> </w:t>
            </w:r>
            <w:r w:rsidRPr="00470971">
              <w:rPr>
                <w:b/>
              </w:rPr>
              <w:t>39</w:t>
            </w:r>
            <w:r w:rsidRPr="00470971">
              <w:t>. § (2) bekezdése alapján történik.</w:t>
            </w:r>
          </w:p>
          <w:p w:rsidR="00DD692C" w:rsidRPr="00470971" w:rsidRDefault="00DD692C" w:rsidP="00167BF6">
            <w:pPr>
              <w:jc w:val="center"/>
              <w:rPr>
                <w:sz w:val="24"/>
                <w:szCs w:val="24"/>
              </w:rPr>
            </w:pPr>
          </w:p>
        </w:tc>
      </w:tr>
      <w:tr w:rsidR="00470971" w:rsidRPr="00470971" w:rsidTr="00DD692C">
        <w:tc>
          <w:tcPr>
            <w:tcW w:w="4606" w:type="dxa"/>
          </w:tcPr>
          <w:p w:rsidR="00DD692C" w:rsidRPr="00470971" w:rsidRDefault="00DD692C" w:rsidP="00167BF6">
            <w:pPr>
              <w:pStyle w:val="NormlWeb"/>
              <w:jc w:val="center"/>
            </w:pPr>
            <w:r w:rsidRPr="00470971">
              <w:rPr>
                <w:rStyle w:val="Kiemels2"/>
              </w:rPr>
              <w:t>7.§</w:t>
            </w:r>
          </w:p>
          <w:p w:rsidR="00DD692C" w:rsidRPr="00470971" w:rsidRDefault="00DD692C" w:rsidP="00167BF6">
            <w:pPr>
              <w:pStyle w:val="NormlWeb"/>
              <w:jc w:val="center"/>
            </w:pPr>
            <w:r w:rsidRPr="00470971">
              <w:rPr>
                <w:rStyle w:val="Kiemels2"/>
              </w:rPr>
              <w:t>Személyi kérdések</w:t>
            </w:r>
          </w:p>
          <w:p w:rsidR="00DD692C" w:rsidRPr="00470971" w:rsidRDefault="00DD692C" w:rsidP="00AD2D0E">
            <w:pPr>
              <w:pStyle w:val="NormlWeb"/>
              <w:jc w:val="both"/>
            </w:pPr>
            <w:r w:rsidRPr="00470971">
              <w:t>(2)  A Küldöttgyűlés az Ellenőrző Bizottság tagjait az Alapszabály 37-38. §§</w:t>
            </w:r>
            <w:proofErr w:type="spellStart"/>
            <w:r w:rsidRPr="00470971">
              <w:t>-a</w:t>
            </w:r>
            <w:proofErr w:type="spellEnd"/>
            <w:r w:rsidRPr="00470971">
              <w:t xml:space="preserve"> megkötései mellett az alábbi ügymenettel választja:</w:t>
            </w:r>
          </w:p>
          <w:p w:rsidR="00DD692C" w:rsidRPr="00470971" w:rsidRDefault="00DD692C" w:rsidP="00AD2D0E">
            <w:pPr>
              <w:pStyle w:val="NormlWeb"/>
              <w:jc w:val="both"/>
            </w:pPr>
            <w:r w:rsidRPr="00470971">
              <w:t>(a)  Jelöltállítás, mely az Alapszabály 37. § (2) bekezdése alapján történik</w:t>
            </w:r>
          </w:p>
          <w:p w:rsidR="00DD692C" w:rsidRPr="00470971" w:rsidRDefault="00DD692C" w:rsidP="00167BF6">
            <w:pPr>
              <w:pStyle w:val="NormlWeb"/>
              <w:jc w:val="center"/>
              <w:rPr>
                <w:rStyle w:val="Kiemels2"/>
              </w:rPr>
            </w:pPr>
          </w:p>
        </w:tc>
        <w:tc>
          <w:tcPr>
            <w:tcW w:w="4606" w:type="dxa"/>
          </w:tcPr>
          <w:p w:rsidR="00DD692C" w:rsidRPr="00470971" w:rsidRDefault="00DD692C" w:rsidP="00167BF6">
            <w:pPr>
              <w:pStyle w:val="NormlWeb"/>
              <w:jc w:val="center"/>
            </w:pPr>
            <w:r w:rsidRPr="00470971">
              <w:rPr>
                <w:rStyle w:val="Kiemels2"/>
              </w:rPr>
              <w:t>7.§</w:t>
            </w:r>
          </w:p>
          <w:p w:rsidR="00DD692C" w:rsidRPr="00470971" w:rsidRDefault="00DD692C" w:rsidP="00167BF6">
            <w:pPr>
              <w:pStyle w:val="NormlWeb"/>
              <w:jc w:val="center"/>
            </w:pPr>
            <w:r w:rsidRPr="00470971">
              <w:rPr>
                <w:rStyle w:val="Kiemels2"/>
              </w:rPr>
              <w:t>Személyi kérdések</w:t>
            </w:r>
          </w:p>
          <w:p w:rsidR="00DD692C" w:rsidRPr="00470971" w:rsidRDefault="00DD692C" w:rsidP="00AD2D0E">
            <w:pPr>
              <w:pStyle w:val="NormlWeb"/>
              <w:jc w:val="both"/>
            </w:pPr>
            <w:r w:rsidRPr="00470971">
              <w:t xml:space="preserve">(2)  A Küldöttgyűlés az Ellenőrző Bizottság tagjait az Alapszabály </w:t>
            </w:r>
            <w:r w:rsidRPr="00470971">
              <w:rPr>
                <w:strike/>
              </w:rPr>
              <w:t>37-38</w:t>
            </w:r>
            <w:r w:rsidRPr="00470971">
              <w:t xml:space="preserve">. </w:t>
            </w:r>
            <w:r w:rsidRPr="00470971">
              <w:rPr>
                <w:b/>
              </w:rPr>
              <w:t>38-39</w:t>
            </w:r>
            <w:r w:rsidRPr="00470971">
              <w:t xml:space="preserve"> §§</w:t>
            </w:r>
            <w:proofErr w:type="spellStart"/>
            <w:r w:rsidRPr="00470971">
              <w:t>-a</w:t>
            </w:r>
            <w:proofErr w:type="spellEnd"/>
            <w:r w:rsidRPr="00470971">
              <w:t xml:space="preserve"> megkötései mellett az alábbi ügymenettel választja:</w:t>
            </w:r>
          </w:p>
          <w:p w:rsidR="00DD692C" w:rsidRPr="00470971" w:rsidRDefault="00DD692C" w:rsidP="00AD2D0E">
            <w:pPr>
              <w:pStyle w:val="NormlWeb"/>
              <w:jc w:val="both"/>
            </w:pPr>
            <w:r w:rsidRPr="00470971">
              <w:t xml:space="preserve">(a)  Jelöltállítás, mely az Alapszabály </w:t>
            </w:r>
            <w:r w:rsidRPr="00470971">
              <w:rPr>
                <w:strike/>
              </w:rPr>
              <w:t>37</w:t>
            </w:r>
            <w:r w:rsidRPr="00470971">
              <w:t xml:space="preserve"> </w:t>
            </w:r>
            <w:r w:rsidRPr="00470971">
              <w:rPr>
                <w:b/>
              </w:rPr>
              <w:t>38</w:t>
            </w:r>
            <w:r w:rsidRPr="00470971">
              <w:t>. § (2) bekezdése alapján történik</w:t>
            </w:r>
          </w:p>
          <w:p w:rsidR="00DD692C" w:rsidRPr="00470971" w:rsidRDefault="00DD692C" w:rsidP="00167BF6">
            <w:pPr>
              <w:pStyle w:val="NormlWeb"/>
              <w:jc w:val="center"/>
              <w:rPr>
                <w:rStyle w:val="Kiemels2"/>
              </w:rPr>
            </w:pPr>
          </w:p>
        </w:tc>
      </w:tr>
      <w:tr w:rsidR="00470971" w:rsidRPr="00470971" w:rsidTr="00DD692C">
        <w:tc>
          <w:tcPr>
            <w:tcW w:w="4606" w:type="dxa"/>
          </w:tcPr>
          <w:p w:rsidR="00DD692C" w:rsidRPr="00470971" w:rsidRDefault="00DD692C" w:rsidP="00167BF6">
            <w:pPr>
              <w:pStyle w:val="NormlWeb"/>
              <w:jc w:val="center"/>
            </w:pPr>
            <w:r w:rsidRPr="00470971">
              <w:rPr>
                <w:rStyle w:val="Kiemels2"/>
              </w:rPr>
              <w:t>7.§</w:t>
            </w:r>
          </w:p>
          <w:p w:rsidR="00DD692C" w:rsidRPr="00470971" w:rsidRDefault="00DD692C" w:rsidP="00167BF6">
            <w:pPr>
              <w:pStyle w:val="NormlWeb"/>
              <w:jc w:val="center"/>
            </w:pPr>
            <w:r w:rsidRPr="00470971">
              <w:rPr>
                <w:rStyle w:val="Kiemels2"/>
              </w:rPr>
              <w:t>Személyi kérdések</w:t>
            </w:r>
          </w:p>
          <w:p w:rsidR="00DD692C" w:rsidRPr="00470971" w:rsidRDefault="00DD692C" w:rsidP="00AD2D0E">
            <w:pPr>
              <w:pStyle w:val="NormlWeb"/>
              <w:jc w:val="both"/>
              <w:rPr>
                <w:rStyle w:val="Kiemels2"/>
              </w:rPr>
            </w:pPr>
            <w:r w:rsidRPr="00470971">
              <w:t>(4)  A Küldöttgyűlés a delegáltakat az Alapszabály 40. §</w:t>
            </w:r>
            <w:proofErr w:type="spellStart"/>
            <w:r w:rsidRPr="00470971">
              <w:t>-a</w:t>
            </w:r>
            <w:proofErr w:type="spellEnd"/>
            <w:r w:rsidRPr="00470971">
              <w:t xml:space="preserve"> megkötései mellett az alábbi ügymenettel választja:</w:t>
            </w:r>
          </w:p>
        </w:tc>
        <w:tc>
          <w:tcPr>
            <w:tcW w:w="4606" w:type="dxa"/>
          </w:tcPr>
          <w:p w:rsidR="00DD692C" w:rsidRPr="00470971" w:rsidRDefault="00DD692C" w:rsidP="00167BF6">
            <w:pPr>
              <w:pStyle w:val="NormlWeb"/>
              <w:jc w:val="center"/>
            </w:pPr>
            <w:r w:rsidRPr="00470971">
              <w:rPr>
                <w:rStyle w:val="Kiemels2"/>
              </w:rPr>
              <w:t>7.§</w:t>
            </w:r>
          </w:p>
          <w:p w:rsidR="00DD692C" w:rsidRPr="00470971" w:rsidRDefault="00DD692C" w:rsidP="00167BF6">
            <w:pPr>
              <w:pStyle w:val="NormlWeb"/>
              <w:jc w:val="center"/>
            </w:pPr>
            <w:r w:rsidRPr="00470971">
              <w:rPr>
                <w:rStyle w:val="Kiemels2"/>
              </w:rPr>
              <w:t>Személyi kérdések</w:t>
            </w:r>
          </w:p>
          <w:p w:rsidR="00DD692C" w:rsidRPr="00470971" w:rsidRDefault="00DD692C" w:rsidP="00AD2D0E">
            <w:pPr>
              <w:pStyle w:val="NormlWeb"/>
              <w:jc w:val="both"/>
              <w:rPr>
                <w:rStyle w:val="Kiemels2"/>
              </w:rPr>
            </w:pPr>
            <w:r w:rsidRPr="00470971">
              <w:t xml:space="preserve">(4)  A Küldöttgyűlés a delegáltakat az Alapszabály </w:t>
            </w:r>
            <w:r w:rsidRPr="00470971">
              <w:rPr>
                <w:strike/>
              </w:rPr>
              <w:t>40.</w:t>
            </w:r>
            <w:r w:rsidRPr="00470971">
              <w:t xml:space="preserve"> </w:t>
            </w:r>
            <w:r w:rsidRPr="00470971">
              <w:rPr>
                <w:b/>
              </w:rPr>
              <w:t>41.</w:t>
            </w:r>
            <w:r w:rsidRPr="00470971">
              <w:t>§</w:t>
            </w:r>
            <w:proofErr w:type="spellStart"/>
            <w:r w:rsidRPr="00470971">
              <w:t>-a</w:t>
            </w:r>
            <w:proofErr w:type="spellEnd"/>
            <w:r w:rsidRPr="00470971">
              <w:t xml:space="preserve"> megkötései mellett az alábbi ügymenettel választja:</w:t>
            </w:r>
          </w:p>
        </w:tc>
      </w:tr>
      <w:tr w:rsidR="00470971" w:rsidRPr="00470971" w:rsidTr="00DD692C">
        <w:tc>
          <w:tcPr>
            <w:tcW w:w="4606" w:type="dxa"/>
          </w:tcPr>
          <w:p w:rsidR="00460A13" w:rsidRPr="00470971" w:rsidRDefault="00460A13" w:rsidP="00167BF6">
            <w:pPr>
              <w:pStyle w:val="NormlWeb"/>
              <w:ind w:left="360"/>
              <w:jc w:val="center"/>
            </w:pPr>
            <w:r w:rsidRPr="00470971">
              <w:rPr>
                <w:rStyle w:val="Kiemels2"/>
              </w:rPr>
              <w:t>8.§</w:t>
            </w:r>
          </w:p>
          <w:p w:rsidR="00460A13" w:rsidRPr="00470971" w:rsidRDefault="00460A13" w:rsidP="00167BF6">
            <w:pPr>
              <w:pStyle w:val="NormlWeb"/>
              <w:ind w:left="360"/>
              <w:jc w:val="center"/>
            </w:pPr>
            <w:r w:rsidRPr="00470971">
              <w:rPr>
                <w:rStyle w:val="Kiemels2"/>
              </w:rPr>
              <w:t>Az ülés dokumentálása</w:t>
            </w:r>
          </w:p>
          <w:p w:rsidR="00460A13" w:rsidRPr="00470971" w:rsidRDefault="00460A13" w:rsidP="00AD2D0E">
            <w:pPr>
              <w:pStyle w:val="NormlWeb"/>
              <w:jc w:val="both"/>
              <w:rPr>
                <w:rStyle w:val="Kiemels2"/>
              </w:rPr>
            </w:pPr>
            <w:r w:rsidRPr="00470971">
              <w:t>(2)  A Küldöttgyűlésről a jegyzőkönyv alapján írásos emlékeztetőt kell készíteni. Az emlékeztetőt az Alapszabály 30§</w:t>
            </w:r>
            <w:proofErr w:type="spellStart"/>
            <w:r w:rsidRPr="00470971">
              <w:t>-a</w:t>
            </w:r>
            <w:proofErr w:type="spellEnd"/>
            <w:r w:rsidRPr="00470971">
              <w:t xml:space="preserve"> szerint az Önkormányzat titkára, vagy amennyiben ez a tisztség betöltetlen, úgy a levezető elnök  által felkért személy készíti, és az elnök hitelesíti.</w:t>
            </w:r>
          </w:p>
        </w:tc>
        <w:tc>
          <w:tcPr>
            <w:tcW w:w="4606" w:type="dxa"/>
          </w:tcPr>
          <w:p w:rsidR="00460A13" w:rsidRPr="00470971" w:rsidRDefault="00460A13" w:rsidP="00167BF6">
            <w:pPr>
              <w:pStyle w:val="NormlWeb"/>
              <w:ind w:left="360"/>
              <w:jc w:val="center"/>
            </w:pPr>
            <w:r w:rsidRPr="00470971">
              <w:rPr>
                <w:rStyle w:val="Kiemels2"/>
              </w:rPr>
              <w:t>8.§</w:t>
            </w:r>
          </w:p>
          <w:p w:rsidR="00460A13" w:rsidRPr="00470971" w:rsidRDefault="00460A13" w:rsidP="00167BF6">
            <w:pPr>
              <w:pStyle w:val="NormlWeb"/>
              <w:ind w:left="360"/>
              <w:jc w:val="center"/>
            </w:pPr>
            <w:r w:rsidRPr="00470971">
              <w:rPr>
                <w:rStyle w:val="Kiemels2"/>
              </w:rPr>
              <w:t>Az ülés dokumentálása</w:t>
            </w:r>
          </w:p>
          <w:p w:rsidR="00460A13" w:rsidRPr="00470971" w:rsidRDefault="00460A13" w:rsidP="00AD2D0E">
            <w:pPr>
              <w:pStyle w:val="NormlWeb"/>
              <w:jc w:val="both"/>
              <w:rPr>
                <w:rStyle w:val="Kiemels2"/>
                <w:bCs w:val="0"/>
              </w:rPr>
            </w:pPr>
            <w:r w:rsidRPr="00470971">
              <w:t xml:space="preserve">(2)  A Küldöttgyűlésről a jegyzőkönyv alapján írásos emlékeztetőt kell készíteni. Az emlékeztetőt az Alapszabály </w:t>
            </w:r>
            <w:r w:rsidRPr="00470971">
              <w:rPr>
                <w:strike/>
              </w:rPr>
              <w:t>30</w:t>
            </w:r>
            <w:r w:rsidRPr="00470971">
              <w:t xml:space="preserve"> </w:t>
            </w:r>
            <w:r w:rsidRPr="00470971">
              <w:rPr>
                <w:b/>
              </w:rPr>
              <w:t>31</w:t>
            </w:r>
            <w:r w:rsidRPr="00470971">
              <w:t>§</w:t>
            </w:r>
            <w:proofErr w:type="spellStart"/>
            <w:r w:rsidRPr="00470971">
              <w:t>-a</w:t>
            </w:r>
            <w:proofErr w:type="spellEnd"/>
            <w:r w:rsidRPr="00470971">
              <w:t xml:space="preserve"> </w:t>
            </w:r>
            <w:r w:rsidR="00452FAE" w:rsidRPr="00470971">
              <w:t>szerint az Ö</w:t>
            </w:r>
            <w:bookmarkStart w:id="0" w:name="_GoBack"/>
            <w:bookmarkEnd w:id="0"/>
            <w:r w:rsidR="00452FAE" w:rsidRPr="00470971">
              <w:t>nkormányzat titkára</w:t>
            </w:r>
            <w:r w:rsidRPr="00470971">
              <w:t>, vagy amennyiben ez a tisztség betöltetlen, úgy a levezető elnök  által felkért személy készíti, és az elnök hitelesíti.</w:t>
            </w:r>
          </w:p>
        </w:tc>
      </w:tr>
    </w:tbl>
    <w:p w:rsidR="005D7C22" w:rsidRPr="00470971" w:rsidRDefault="005D7C22" w:rsidP="00167BF6">
      <w:pPr>
        <w:jc w:val="center"/>
        <w:rPr>
          <w:sz w:val="24"/>
          <w:szCs w:val="24"/>
        </w:rPr>
      </w:pPr>
    </w:p>
    <w:sectPr w:rsidR="005D7C22" w:rsidRPr="0047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2C"/>
    <w:rsid w:val="001563EA"/>
    <w:rsid w:val="00167BF6"/>
    <w:rsid w:val="00452FAE"/>
    <w:rsid w:val="00460A13"/>
    <w:rsid w:val="00470971"/>
    <w:rsid w:val="005D7C22"/>
    <w:rsid w:val="00785D19"/>
    <w:rsid w:val="008976A1"/>
    <w:rsid w:val="00A52025"/>
    <w:rsid w:val="00AD2D0E"/>
    <w:rsid w:val="00BD1E08"/>
    <w:rsid w:val="00C64C3C"/>
    <w:rsid w:val="00CE47F5"/>
    <w:rsid w:val="00D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5BE3D-5BF9-494D-B4E0-7419EDF1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D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DD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D6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CE59-FD4C-4C6C-8898-B74B4072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RA</cp:lastModifiedBy>
  <cp:revision>2</cp:revision>
  <dcterms:created xsi:type="dcterms:W3CDTF">2014-12-06T17:45:00Z</dcterms:created>
  <dcterms:modified xsi:type="dcterms:W3CDTF">2014-12-06T17:45:00Z</dcterms:modified>
</cp:coreProperties>
</file>